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A5A6B"/>
          <w:sz w:val="19"/>
        </w:rPr>
        <w:t>MODIFIABLE REQUEST FOR PROPOSALS (RFP) TEMPLATE  |  VNA-RFP-018</w:t>
      </w:r>
    </w:p>
    <w:p>
      <w:pPr>
        <w:pStyle w:val="Heading1"/>
      </w:pPr>
      <w:r>
        <w:rPr>
          <w:color w:val="1E2328"/>
        </w:rPr>
        <w:t>Request for Proposals (RFP): OCI vs. AWS vs. Azure vs. GCP Cost Comparison: Compute, Spot VMs, Block IOPS &amp; BYOL</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A5A6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E252B"/>
          </w:tcPr>
          <w:p>
            <w:r>
              <w:rPr>
                <w:b/>
                <w:color w:val="FFFFFF"/>
                <w:sz w:val="19"/>
              </w:rPr>
              <w:t>Procurement Milestone / Field</w:t>
            </w:r>
          </w:p>
        </w:tc>
        <w:tc>
          <w:tcPr>
            <w:tcW w:type="dxa" w:w="5040"/>
            <w:shd w:val="clear" w:color="auto" w:fill="1E252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VNA-RFP-018 (Companion to Solution Brief VNA-SB-018)</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AWS (EC2, EBS, RDS), Microsoft Azure (VMs, SQL), Google Cloud (GCE, Cloud SQL) environment to Oracle Cloud Infrastructure (OCI Flexible Compute, Preemptible/Spot VMs, NVMe Block, Autonomous DB).</w:t>
      </w:r>
    </w:p>
    <w:p>
      <w:pPr>
        <w:pStyle w:val="ListBullet"/>
      </w:pPr>
      <w:r>
        <w:t>AWS, Azure, and GCP lock customers into rigid t-shirt VM sizes (forcing you to double RAM just to add CPU cores or vice versa) and charge extra for regions outside US-East.</w:t>
      </w:r>
    </w:p>
    <w:p>
      <w:pPr>
        <w:pStyle w:val="ListBullet"/>
      </w:pPr>
      <w:r>
        <w:t>Provisioning high-performance database storage (e.g., 30,000+ IOPS and 1,000 MB/s throughput) on AWS `io2`/`gp3` or Azure Ultra Disk often costs more per month than the compute instances themselves.</w:t>
      </w:r>
    </w:p>
    <w:p>
      <w:pPr>
        <w:pStyle w:val="ListBullet"/>
      </w:pPr>
      <w:r>
        <w:t>Outbound internet data egress on AWS, Azure, and GCP starts at $85 to $120 per TB after just 100 GB, punishing data-intensive APIs, SaaS platforms, and multi-cloud architectures.</w:t>
      </w:r>
    </w:p>
    <w:p>
      <w:pPr>
        <w:pStyle w:val="Heading2"/>
      </w:pPr>
      <w:r>
        <w:rPr>
          <w:color w:val="3A5A6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A5A6B"/>
          </w:tcPr>
          <w:p>
            <w:r>
              <w:rPr>
                <w:b/>
                <w:color w:val="FFFFFF"/>
                <w:sz w:val="19"/>
              </w:rPr>
              <w:t>Inventory Dimension</w:t>
            </w:r>
          </w:p>
        </w:tc>
        <w:tc>
          <w:tcPr>
            <w:tcW w:type="dxa" w:w="3360"/>
            <w:shd w:val="clear" w:color="auto" w:fill="3A5A6B"/>
          </w:tcPr>
          <w:p>
            <w:r>
              <w:rPr>
                <w:b/>
                <w:color w:val="FFFFFF"/>
                <w:sz w:val="19"/>
              </w:rPr>
              <w:t>Current Baseline Footprint (Editable)</w:t>
            </w:r>
          </w:p>
        </w:tc>
        <w:tc>
          <w:tcPr>
            <w:tcW w:type="dxa" w:w="3360"/>
            <w:shd w:val="clear" w:color="auto" w:fill="3A5A6B"/>
          </w:tcPr>
          <w:p>
            <w:r>
              <w:rPr>
                <w:b/>
                <w:color w:val="FFFFFF"/>
                <w:sz w:val="19"/>
              </w:rPr>
              <w:t>Target Modernization SLA / Objective</w:t>
            </w:r>
          </w:p>
        </w:tc>
      </w:tr>
      <w:tr>
        <w:tc>
          <w:tcPr>
            <w:tcW w:type="dxa" w:w="3360"/>
          </w:tcPr>
          <w:p>
            <w:r>
              <w:rPr>
                <w:b/>
              </w:rPr>
              <w:t>Legacy Source Stack (Stack X)</w:t>
            </w:r>
          </w:p>
        </w:tc>
        <w:tc>
          <w:tcPr>
            <w:tcW w:type="dxa" w:w="3360"/>
          </w:tcPr>
          <w:p>
            <w:r>
              <w:t>AWS (EC2, EBS, RDS), Microsoft Azure (VMs, SQL), Google Cloud (GCE, Cloud SQL)</w:t>
            </w:r>
          </w:p>
        </w:tc>
        <w:tc>
          <w:tcPr>
            <w:tcW w:type="dxa" w:w="3360"/>
          </w:tcPr>
          <w:p>
            <w:r>
              <w:t>Full retirement / modernization</w:t>
            </w:r>
          </w:p>
        </w:tc>
      </w:tr>
      <w:tr>
        <w:tc>
          <w:tcPr>
            <w:tcW w:type="dxa" w:w="3360"/>
          </w:tcPr>
          <w:p>
            <w:r>
              <w:rPr>
                <w:b/>
              </w:rPr>
              <w:t>Target Architecture (Stack Y)</w:t>
            </w:r>
          </w:p>
        </w:tc>
        <w:tc>
          <w:tcPr>
            <w:tcW w:type="dxa" w:w="3360"/>
          </w:tcPr>
          <w:p>
            <w:r>
              <w:t>Oracle Cloud Infrastructure (OCI Flexible Compute, Preemptible/Spot VMs, NVMe Block, Autonomous DB)</w:t>
            </w:r>
          </w:p>
        </w:tc>
        <w:tc>
          <w:tcPr>
            <w:tcW w:type="dxa" w:w="3360"/>
          </w:tcPr>
          <w:p>
            <w:r>
              <w:t>Production HA/DR &amp; security governance</w:t>
            </w:r>
          </w:p>
        </w:tc>
      </w:tr>
      <w:tr>
        <w:tc>
          <w:tcPr>
            <w:tcW w:type="dxa" w:w="3360"/>
          </w:tcPr>
          <w:p>
            <w:r>
              <w:rPr>
                <w:b/>
              </w:rPr>
              <w:t>Current Monthly AWS / Azure / GCP Spend ($)</w:t>
            </w:r>
          </w:p>
        </w:tc>
        <w:tc>
          <w:tcPr>
            <w:tcW w:type="dxa" w:w="3360"/>
          </w:tcPr>
          <w:p>
            <w:r>
              <w:t>[Insert Count, e.g., 65000 $/mo]</w:t>
            </w:r>
          </w:p>
        </w:tc>
        <w:tc>
          <w:tcPr>
            <w:tcW w:type="dxa" w:w="3360"/>
          </w:tcPr>
          <w:p>
            <w:r>
              <w:t>100% functional parity &amp; optimization</w:t>
            </w:r>
          </w:p>
        </w:tc>
      </w:tr>
      <w:tr>
        <w:tc>
          <w:tcPr>
            <w:tcW w:type="dxa" w:w="3360"/>
          </w:tcPr>
          <w:p>
            <w:r>
              <w:rPr>
                <w:b/>
              </w:rPr>
              <w:t>Monthly Outbound Data Egress &amp; Storage (TB)</w:t>
            </w:r>
          </w:p>
        </w:tc>
        <w:tc>
          <w:tcPr>
            <w:tcW w:type="dxa" w:w="3360"/>
          </w:tcPr>
          <w:p>
            <w:r>
              <w:t>[Insert Count, e.g., 45 TB/mo]</w:t>
            </w:r>
          </w:p>
        </w:tc>
        <w:tc>
          <w:tcPr>
            <w:tcW w:type="dxa" w:w="3360"/>
          </w:tcPr>
          <w:p>
            <w:r>
              <w:t>Automated AST &amp; schema uplift</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A5A6B"/>
        </w:rPr>
        <w:t>Section 3: Mandatory Technical Scope of Work &amp; Conversion Matrix</w:t>
      </w:r>
    </w:p>
    <w:p>
      <w:pPr>
        <w:pStyle w:val="ListNumber"/>
      </w:pPr>
      <w:r>
        <w:rPr>
          <w:b/>
        </w:rPr>
        <w:t xml:space="preserve">[REQ-ARCH-01] </w:t>
      </w:r>
      <w:r>
        <w:t>Low-Level Infrastructure Benchmarks (Compute, Spot/Preemptible VMs, Block IOPS, Egress): OCI flexible AMD EPYC (`E5.Flex`) and Ampere ARM (`A1.Flex`/`A2.Flex`) shapes allow independent 1-OCPU and 1-GB RAM scaling at uniform global pricing, with flat 50% discounts on Preemptible (Spot) capacity.</w:t>
      </w:r>
    </w:p>
    <w:p>
      <w:pPr>
        <w:pStyle w:val="ListNumber"/>
      </w:pPr>
      <w:r>
        <w:rPr>
          <w:b/>
        </w:rPr>
        <w:t xml:space="preserve">[REQ-ARCH-02] </w:t>
      </w:r>
      <w:r>
        <w:t>Storage &amp; Network Economics: Every OCI Block Volume includes high baseline IOPS and dynamically scales up to 300,000 IOPS per volume using Performance Units (`VPU`) at a fraction of AWS `io2` pricing, while the first 10 TB/month of outbound internet egress is $0.00.</w:t>
      </w:r>
    </w:p>
    <w:p>
      <w:pPr>
        <w:pStyle w:val="ListNumber"/>
      </w:pPr>
      <w:r>
        <w:rPr>
          <w:b/>
        </w:rPr>
        <w:t xml:space="preserve">[REQ-ARCH-03] </w:t>
      </w:r>
      <w:r>
        <w:t>Managed Platform Layer (Kubernetes, Exadata/Autonomous DB, Oracle BYOL Advantage): OCI Container Engine for Kubernetes (OKE) has a $0 control plane fee. For Oracle Database workloads, OCI's 1 OCPU = 2 vCPUs architectural mapping combined with Bring Your Own License (BYOL) and Support Rewards ($0.25-$0.33 per $1 spent) cuts net database run-rates by 50% to 70%.</w:t>
      </w:r>
    </w:p>
    <w:p>
      <w:pPr>
        <w:pStyle w:val="ListNumber"/>
      </w:pPr>
      <w:r>
        <w:rPr>
          <w:b/>
        </w:rPr>
        <w:t xml:space="preserve">[REQ-ARCH-04] </w:t>
      </w:r>
      <w:r>
        <w:t>Multi-Cloud Split-Stack Execution: Using the sub-2ms OCI-Azure Interconnect and OCI-Google Cloud Interconnect (with $0 cross-cloud interconnect egress fees), you can keep front-end apps in Azure/GCP while running data-intensive compute and databases on OCI.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Req ID</w:t>
            </w:r>
          </w:p>
        </w:tc>
        <w:tc>
          <w:tcPr>
            <w:tcW w:type="dxa" w:w="2520"/>
            <w:shd w:val="clear" w:color="auto" w:fill="1E252B"/>
          </w:tcPr>
          <w:p>
            <w:r>
              <w:rPr>
                <w:b/>
                <w:color w:val="FFFFFF"/>
                <w:sz w:val="19"/>
              </w:rPr>
              <w:t>Legacy Artifact / Baseline Workload</w:t>
            </w:r>
          </w:p>
        </w:tc>
        <w:tc>
          <w:tcPr>
            <w:tcW w:type="dxa" w:w="2520"/>
            <w:shd w:val="clear" w:color="auto" w:fill="1E252B"/>
          </w:tcPr>
          <w:p>
            <w:r>
              <w:rPr>
                <w:b/>
                <w:color w:val="FFFFFF"/>
                <w:sz w:val="19"/>
              </w:rPr>
              <w:t>Required Target Architecture</w:t>
            </w:r>
          </w:p>
        </w:tc>
        <w:tc>
          <w:tcPr>
            <w:tcW w:type="dxa" w:w="2520"/>
            <w:shd w:val="clear" w:color="auto" w:fill="1E252B"/>
          </w:tcPr>
          <w:p>
            <w:r>
              <w:rPr>
                <w:b/>
                <w:color w:val="FFFFFF"/>
                <w:sz w:val="19"/>
              </w:rPr>
              <w:t>Engineering Method &amp; Acceptance Gate</w:t>
            </w:r>
          </w:p>
        </w:tc>
      </w:tr>
      <w:tr>
        <w:tc>
          <w:tcPr>
            <w:tcW w:type="dxa" w:w="2520"/>
          </w:tcPr>
          <w:p>
            <w:r>
              <w:rPr>
                <w:b/>
              </w:rPr>
              <w:t>REQ-01</w:t>
            </w:r>
          </w:p>
        </w:tc>
        <w:tc>
          <w:tcPr>
            <w:tcW w:type="dxa" w:w="2520"/>
          </w:tcPr>
          <w:p>
            <w:r>
              <w:t>8 vCPU / 32 GB RAM Linux On-Demand VM (730 hrs/mo)</w:t>
            </w:r>
          </w:p>
        </w:tc>
        <w:tc>
          <w:tcPr>
            <w:tcW w:type="dxa" w:w="2520"/>
          </w:tcPr>
          <w:p>
            <w:r>
              <w:t>OCI E5.Flex (~$128/mo) vs AWS m7a.2xlarge (~$338/mo) vs Azure D8as_v5 (~$280/mo) vs GCP n2d-standard-8 (~$252/mo)</w:t>
            </w:r>
          </w:p>
        </w:tc>
        <w:tc>
          <w:tcPr>
            <w:tcW w:type="dxa" w:w="2520"/>
          </w:tcPr>
          <w:p>
            <w:r>
              <w:t>54-62% Compute Savings + Exact Core/RAM Sizing</w:t>
            </w:r>
          </w:p>
        </w:tc>
      </w:tr>
      <w:tr>
        <w:tc>
          <w:tcPr>
            <w:tcW w:type="dxa" w:w="2520"/>
          </w:tcPr>
          <w:p>
            <w:r>
              <w:rPr>
                <w:b/>
              </w:rPr>
              <w:t>REQ-02</w:t>
            </w:r>
          </w:p>
        </w:tc>
        <w:tc>
          <w:tcPr>
            <w:tcW w:type="dxa" w:w="2520"/>
          </w:tcPr>
          <w:p>
            <w:r>
              <w:t>8 vCPU / 32 GB RAM Spot / Preemptible Batch Worker</w:t>
            </w:r>
          </w:p>
        </w:tc>
        <w:tc>
          <w:tcPr>
            <w:tcW w:type="dxa" w:w="2520"/>
          </w:tcPr>
          <w:p>
            <w:r>
              <w:t>OCI Preemptible (~$64/mo Fixed) vs AWS Spot (~$105-$140/mo Variable) vs Azure Spot (~$85/mo) vs GCP Spot (~$76/mo)</w:t>
            </w:r>
          </w:p>
        </w:tc>
        <w:tc>
          <w:tcPr>
            <w:tcW w:type="dxa" w:w="2520"/>
          </w:tcPr>
          <w:p>
            <w:r>
              <w:t>Predictable 50% Flat Preemptible Rate (Zero Price Spikes)</w:t>
            </w:r>
          </w:p>
        </w:tc>
      </w:tr>
      <w:tr>
        <w:tc>
          <w:tcPr>
            <w:tcW w:type="dxa" w:w="2520"/>
          </w:tcPr>
          <w:p>
            <w:r>
              <w:rPr>
                <w:b/>
              </w:rPr>
              <w:t>REQ-03</w:t>
            </w:r>
          </w:p>
        </w:tc>
        <w:tc>
          <w:tcPr>
            <w:tcW w:type="dxa" w:w="2520"/>
          </w:tcPr>
          <w:p>
            <w:r>
              <w:t>1 TB Block Storage @ 32,000 IOPS &amp; 480 MB/s</w:t>
            </w:r>
          </w:p>
        </w:tc>
        <w:tc>
          <w:tcPr>
            <w:tcW w:type="dxa" w:w="2520"/>
          </w:tcPr>
          <w:p>
            <w:r>
              <w:t>OCI Balanced/Higher Perf (~$59/mo) vs AWS gp3/io2 (~$265-$1,600/mo) vs Azure Premium SSD v2 (~$230/mo) vs GCP Extreme PD (~$325/mo)</w:t>
            </w:r>
          </w:p>
        </w:tc>
        <w:tc>
          <w:tcPr>
            <w:tcW w:type="dxa" w:w="2520"/>
          </w:tcPr>
          <w:p>
            <w:r>
              <w:t>75-95% Lower High-IOPS Storage Cost</w:t>
            </w:r>
          </w:p>
        </w:tc>
      </w:tr>
      <w:tr>
        <w:tc>
          <w:tcPr>
            <w:tcW w:type="dxa" w:w="2520"/>
          </w:tcPr>
          <w:p>
            <w:r>
              <w:rPr>
                <w:b/>
              </w:rPr>
              <w:t>REQ-04</w:t>
            </w:r>
          </w:p>
        </w:tc>
        <w:tc>
          <w:tcPr>
            <w:tcW w:type="dxa" w:w="2520"/>
          </w:tcPr>
          <w:p>
            <w:r>
              <w:t>10 TB / Month Outbound Internet Data Egress</w:t>
            </w:r>
          </w:p>
        </w:tc>
        <w:tc>
          <w:tcPr>
            <w:tcW w:type="dxa" w:w="2520"/>
          </w:tcPr>
          <w:p>
            <w:r>
              <w:t>OCI ($0.00 Free Tier) vs AWS (~$900/mo) vs Azure (~$870/mo) vs GCP (~$850/mo)</w:t>
            </w:r>
          </w:p>
        </w:tc>
        <w:tc>
          <w:tcPr>
            <w:tcW w:type="dxa" w:w="2520"/>
          </w:tcPr>
          <w:p>
            <w:r>
              <w:t>10 TB/mo Included Free + $0.0085/GB Thereafter</w:t>
            </w:r>
          </w:p>
        </w:tc>
      </w:tr>
      <w:tr>
        <w:tc>
          <w:tcPr>
            <w:tcW w:type="dxa" w:w="2520"/>
          </w:tcPr>
          <w:p>
            <w:r>
              <w:rPr>
                <w:b/>
              </w:rPr>
              <w:t>REQ-05</w:t>
            </w:r>
          </w:p>
        </w:tc>
        <w:tc>
          <w:tcPr>
            <w:tcW w:type="dxa" w:w="2520"/>
          </w:tcPr>
          <w:p>
            <w:r>
              <w:t>16 vCPU Enterprise Database (HA Multi-AZ)</w:t>
            </w:r>
          </w:p>
        </w:tc>
        <w:tc>
          <w:tcPr>
            <w:tcW w:type="dxa" w:w="2520"/>
          </w:tcPr>
          <w:p>
            <w:r>
              <w:t>OCI Base DB / Autonomous BYOL vs AWS RDS Oracle/Postgres vs Azure SQL Business Critical vs GCP AlloyDB</w:t>
            </w:r>
          </w:p>
        </w:tc>
        <w:tc>
          <w:tcPr>
            <w:tcW w:type="dxa" w:w="2520"/>
          </w:tcPr>
          <w:p>
            <w:r>
              <w:t>2x Core Licensing Efficiency + OCI Support Rewards</w:t>
            </w:r>
          </w:p>
        </w:tc>
      </w:tr>
    </w:tbl>
    <w:p>
      <w:pPr>
        <w:pStyle w:val="Heading2"/>
      </w:pPr>
      <w:r>
        <w:rPr>
          <w:color w:val="3A5A6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How do OCI Preemptible Instances compare to AWS EC2 Spot Instances and GCP Spot VMs?   [Evaluator Score: ___ / 10]</w:t>
      </w:r>
    </w:p>
    <w:p>
      <w:pPr>
        <w:pStyle w:val="ListBullet"/>
      </w:pPr>
      <w:r>
        <w:rPr>
          <w:b/>
        </w:rPr>
        <w:t xml:space="preserve">Reference Evaluation Benchmark: </w:t>
      </w:r>
      <w:r>
        <w:t>Unlike AWS Spot where market bidding prices can spike unexpectedly toward On-Demand rates during capacity crunches, OCI Preemptible Instances always bill at a flat, predictable 50% discount off the already-low OCI On-Demand rate, making them ideal for CI/CD, Kubernetes batch pools, and data pipelines.</w:t>
      </w:r>
    </w:p>
    <w:p>
      <w:pPr>
        <w:pStyle w:val="ListBullet"/>
      </w:pPr>
      <w:r>
        <w:rPr>
          <w:b/>
        </w:rPr>
        <w:t xml:space="preserve">Vendor Written Response: </w:t>
      </w:r>
      <w:r>
        <w:t>[Bidder to insert concrete technical architecture and verifiable production proof here]</w:t>
      </w:r>
    </w:p>
    <w:p>
      <w:r>
        <w:rPr>
          <w:b/>
        </w:rPr>
        <w:t>Vendor Question 2: How do Oracle Support Rewards work when we move workloads to OCI?   [Evaluator Score: ___ / 10]</w:t>
      </w:r>
    </w:p>
    <w:p>
      <w:pPr>
        <w:pStyle w:val="ListBullet"/>
      </w:pPr>
      <w:r>
        <w:rPr>
          <w:b/>
        </w:rPr>
        <w:t xml:space="preserve">Reference Evaluation Benchmark: </w:t>
      </w:r>
      <w:r>
        <w:t>For every $1 of OCI Universal Credits consumed, customers with on-premises Oracle technology licenses earn $0.25 (or $0.33 for ULA customers) in rewards that directly pay down their annual Oracle technical support renewal invoice.</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6-page PDF Solution Brief contains the complete 2026 4-Cloud Price Benchmark Tables (Compute, Spot/Preemptible, GPU, Block Storage IOPS, Object Storage, Egress, Kubernetes, and Managed DBs), plus our 10-step OCI FinOps Right-Sizing Playbook.</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A5A6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Milestone / Phase</w:t>
            </w:r>
          </w:p>
        </w:tc>
        <w:tc>
          <w:tcPr>
            <w:tcW w:type="dxa" w:w="2520"/>
            <w:shd w:val="clear" w:color="auto" w:fill="1E252B"/>
          </w:tcPr>
          <w:p>
            <w:r>
              <w:rPr>
                <w:b/>
                <w:color w:val="FFFFFF"/>
                <w:sz w:val="19"/>
              </w:rPr>
              <w:t>Deliverable &amp; Acceptance Gate</w:t>
            </w:r>
          </w:p>
        </w:tc>
        <w:tc>
          <w:tcPr>
            <w:tcW w:type="dxa" w:w="2520"/>
            <w:shd w:val="clear" w:color="auto" w:fill="1E252B"/>
          </w:tcPr>
          <w:p>
            <w:r>
              <w:rPr>
                <w:b/>
                <w:color w:val="FFFFFF"/>
                <w:sz w:val="19"/>
              </w:rPr>
              <w:t>Fixed Fee (USD)</w:t>
            </w:r>
          </w:p>
        </w:tc>
        <w:tc>
          <w:tcPr>
            <w:tcW w:type="dxa" w:w="2520"/>
            <w:shd w:val="clear" w:color="auto" w:fill="1E252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VNA-RFP-018  |  https://oci-vs-aws-azure-gcp-cost.web.app/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